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0D40" w14:textId="2C4833EB" w:rsidR="00AE2D72" w:rsidRPr="00DA19DD" w:rsidRDefault="00AE2C8E" w:rsidP="00E8106A">
      <w:pPr>
        <w:spacing w:after="120"/>
        <w:rPr>
          <w:b/>
          <w:bCs/>
        </w:rPr>
      </w:pPr>
      <w:r w:rsidRPr="00DA19DD">
        <w:rPr>
          <w:b/>
          <w:bCs/>
        </w:rPr>
        <w:t>Comments on draft ADG Code</w:t>
      </w:r>
      <w:r w:rsidR="00DA19DD" w:rsidRPr="00DA19DD">
        <w:rPr>
          <w:b/>
          <w:bCs/>
        </w:rPr>
        <w:t xml:space="preserve"> on behalf of AIDGC</w:t>
      </w:r>
    </w:p>
    <w:p w14:paraId="64867680" w14:textId="51B5A61E" w:rsidR="00AE2C8E" w:rsidRDefault="00AE2C8E" w:rsidP="00E8106A">
      <w:pPr>
        <w:spacing w:after="120"/>
        <w:rPr>
          <w:b/>
          <w:bCs/>
        </w:rPr>
      </w:pPr>
      <w:r w:rsidRPr="00DA19DD">
        <w:rPr>
          <w:b/>
          <w:bCs/>
        </w:rPr>
        <w:t>1.1.3.1(f) uncleaned empty static storage vessels</w:t>
      </w:r>
    </w:p>
    <w:p w14:paraId="77975602" w14:textId="03CB7A26" w:rsidR="00F36940" w:rsidRDefault="00DA19DD" w:rsidP="00E8106A">
      <w:pPr>
        <w:spacing w:after="120"/>
      </w:pPr>
      <w:r>
        <w:t>This is quite dangerous</w:t>
      </w:r>
      <w:r w:rsidR="00F36940">
        <w:t>.</w:t>
      </w:r>
    </w:p>
    <w:p w14:paraId="4FC1D2F6" w14:textId="723BB4E3" w:rsidR="00DA19DD" w:rsidRDefault="0024133A" w:rsidP="00E8106A">
      <w:pPr>
        <w:spacing w:after="120"/>
      </w:pPr>
      <w:r>
        <w:t>I</w:t>
      </w:r>
      <w:r w:rsidR="00DA19DD">
        <w:t xml:space="preserve">t would permit the transport of nominally empty (i.e. uncleaned) LPG tanks, flammable liquid storage tanks, including those with freight container structures, and other tanks containing </w:t>
      </w:r>
      <w:r>
        <w:t>flammable vapour</w:t>
      </w:r>
      <w:r w:rsidR="00DA19DD">
        <w:t>.</w:t>
      </w:r>
      <w:r>
        <w:t xml:space="preserve">  With hermetically sealed openings (and especially if no relief valve) such tanks involved in an external fire would build up internal pressure and on failure would explode.  A tank with pressure relief involved in a traffic accident could end up on its side with the relief device discharging </w:t>
      </w:r>
      <w:r w:rsidR="00DB59B9">
        <w:t xml:space="preserve">horizontally and, in an external fire, this could cause a jet fire striking first responders, including civilian good Samaritans </w:t>
      </w:r>
    </w:p>
    <w:p w14:paraId="1C3857C5" w14:textId="3019BB2E" w:rsidR="00DB59B9" w:rsidRDefault="00DB59B9" w:rsidP="00E8106A">
      <w:pPr>
        <w:spacing w:after="120"/>
      </w:pPr>
      <w:r>
        <w:t>Pesticides of Class 6.1 PG II or III are frequently based on a combustible liquid solvent with a flashpoint around 65</w:t>
      </w:r>
      <w:r>
        <w:rPr>
          <w:rFonts w:cs="Calibri"/>
        </w:rPr>
        <w:t>°</w:t>
      </w:r>
      <w:r>
        <w:t xml:space="preserve">C.  Such DGs </w:t>
      </w:r>
      <w:r w:rsidR="00F36940">
        <w:t>in an external fire will also contain flammable vapour.</w:t>
      </w:r>
    </w:p>
    <w:p w14:paraId="235B1EB9" w14:textId="09B1D33D" w:rsidR="00F36940" w:rsidRPr="00F36940" w:rsidRDefault="00F36940" w:rsidP="00E8106A">
      <w:pPr>
        <w:spacing w:after="120"/>
        <w:rPr>
          <w:iCs/>
        </w:rPr>
      </w:pPr>
      <w:r>
        <w:t>The Code must allow for conditions other than “normal” when the potential consequences in a foreseeable accident are serious.</w:t>
      </w:r>
    </w:p>
    <w:p w14:paraId="1FC7BCF0" w14:textId="1F65702A" w:rsidR="00AE2C8E" w:rsidRDefault="00AE2C8E" w:rsidP="00E8106A">
      <w:pPr>
        <w:spacing w:after="120"/>
        <w:rPr>
          <w:b/>
          <w:bCs/>
        </w:rPr>
      </w:pPr>
      <w:r w:rsidRPr="00DA19DD">
        <w:rPr>
          <w:b/>
          <w:bCs/>
        </w:rPr>
        <w:t>1.1.3.5 Empty uncleaned packages</w:t>
      </w:r>
    </w:p>
    <w:p w14:paraId="56E13421" w14:textId="47150BB4" w:rsidR="0019099E" w:rsidRPr="00F36940" w:rsidRDefault="00F36940" w:rsidP="00E8106A">
      <w:pPr>
        <w:spacing w:after="120"/>
        <w:rPr>
          <w:iCs/>
        </w:rPr>
      </w:pPr>
      <w:r w:rsidRPr="00F36940">
        <w:t xml:space="preserve">The same </w:t>
      </w:r>
      <w:r>
        <w:t xml:space="preserve">consequences as described above </w:t>
      </w:r>
      <w:r w:rsidR="0019099E">
        <w:t>apply and t</w:t>
      </w:r>
      <w:r w:rsidR="0019099E">
        <w:t>he Code must allow for conditions other than “normal” when the potential consequences in a foreseeable accident are serious.</w:t>
      </w:r>
    </w:p>
    <w:p w14:paraId="03FF1266" w14:textId="6B148070" w:rsidR="00F36940" w:rsidRPr="0019099E" w:rsidRDefault="0019099E" w:rsidP="00E8106A">
      <w:pPr>
        <w:spacing w:after="120"/>
      </w:pPr>
      <w:r>
        <w:t>The sentence “</w:t>
      </w:r>
      <w:r w:rsidRPr="0019099E">
        <w:t xml:space="preserve">Hazards are nullified </w:t>
      </w:r>
      <w:r w:rsidRPr="0019099E">
        <w:t>adequate measures have been taken to nullify</w:t>
      </w:r>
      <w:r w:rsidRPr="0019099E">
        <w:t xml:space="preserve"> all hazards of Classes 1 to 9”</w:t>
      </w:r>
      <w:r>
        <w:t xml:space="preserve"> is both vague and circular and provides nothing of use to </w:t>
      </w:r>
      <w:r w:rsidR="00BD3E69">
        <w:t>a person involved in transport.</w:t>
      </w:r>
    </w:p>
    <w:p w14:paraId="5EE41F46" w14:textId="213068D8" w:rsidR="00AE2C8E" w:rsidRDefault="00AE2C8E" w:rsidP="00E8106A">
      <w:pPr>
        <w:spacing w:after="120"/>
        <w:rPr>
          <w:b/>
          <w:bCs/>
        </w:rPr>
      </w:pPr>
      <w:r w:rsidRPr="00DA19DD">
        <w:rPr>
          <w:b/>
          <w:bCs/>
        </w:rPr>
        <w:t>1.1.3.11 DG for retail sale</w:t>
      </w:r>
    </w:p>
    <w:p w14:paraId="465F1AF9" w14:textId="15F2CA66" w:rsidR="001D722F" w:rsidRDefault="001D722F" w:rsidP="00E8106A">
      <w:pPr>
        <w:spacing w:after="120"/>
      </w:pPr>
      <w:r w:rsidRPr="001D722F">
        <w:t>Sub clause (b)</w:t>
      </w:r>
      <w:r>
        <w:t xml:space="preserve"> does not restrict this exemption to LQ as the “or” permits any size inner packages in the combination packaging as permitted elsewhere in the Code.  </w:t>
      </w:r>
      <w:r w:rsidR="00012C2A">
        <w:t>The thought of the average courier carrying a couple of hundred litres of flammable liquids in his small van (no separation from passenger compartment) with no requirements for anything, including load restraint</w:t>
      </w:r>
      <w:r w:rsidR="004F2352">
        <w:t>) conjures many scenarios with serious consequences.</w:t>
      </w:r>
    </w:p>
    <w:p w14:paraId="67ACE6B6" w14:textId="70F6E0B4" w:rsidR="004F2352" w:rsidRPr="001D722F" w:rsidRDefault="004F2352" w:rsidP="00E8106A">
      <w:pPr>
        <w:spacing w:after="120"/>
      </w:pPr>
      <w:r>
        <w:t>A ”retail customer” not defined in the Code, would mean anybody other than a “wholesale customer” and would include industrial laboratories, pilot plants and others purchasing some quite dangerous goods</w:t>
      </w:r>
      <w:r w:rsidR="00AB0AB1">
        <w:t xml:space="preserve"> without any controls, particularly returned goods.  This could lead to serious consequences.</w:t>
      </w:r>
    </w:p>
    <w:p w14:paraId="12161C9B" w14:textId="4A173C85" w:rsidR="00AE2C8E" w:rsidRDefault="00AE2C8E" w:rsidP="00E8106A">
      <w:pPr>
        <w:spacing w:after="120"/>
        <w:rPr>
          <w:b/>
          <w:bCs/>
        </w:rPr>
      </w:pPr>
      <w:r w:rsidRPr="00DA19DD">
        <w:rPr>
          <w:b/>
          <w:bCs/>
        </w:rPr>
        <w:t>1.1.3.13 Short journeys across public roads</w:t>
      </w:r>
      <w:r w:rsidR="00AB0AB1">
        <w:rPr>
          <w:b/>
          <w:bCs/>
        </w:rPr>
        <w:t>.</w:t>
      </w:r>
    </w:p>
    <w:p w14:paraId="6D017F82" w14:textId="1382A256" w:rsidR="00AB0AB1" w:rsidRDefault="00312323" w:rsidP="00E8106A">
      <w:pPr>
        <w:spacing w:after="120"/>
      </w:pPr>
      <w:r>
        <w:t xml:space="preserve">(a) </w:t>
      </w:r>
      <w:r w:rsidR="00AB0AB1" w:rsidRPr="00AB0AB1">
        <w:t>Vehicles</w:t>
      </w:r>
      <w:r w:rsidR="00AB0AB1">
        <w:t xml:space="preserve"> unloading on a public road are </w:t>
      </w:r>
      <w:r w:rsidR="00246F4F">
        <w:t xml:space="preserve">at risk of involvement in traffic accidents, a risk which can be eliminated or controlled inside premises.  Unloading pallets or IBCs from the </w:t>
      </w:r>
      <w:proofErr w:type="gramStart"/>
      <w:r w:rsidR="00246F4F">
        <w:t>off-side</w:t>
      </w:r>
      <w:proofErr w:type="gramEnd"/>
      <w:r w:rsidR="00246F4F">
        <w:t xml:space="preserve"> increases this risk.  The unloading of tankers would require hoses across footpaths and other public spaces.  Any resulting spills will </w:t>
      </w:r>
      <w:r>
        <w:t>enter drains and/or soak into unpaved ground.  As the foreseeable consequences include fires from accidents and environmental contamination, this proposed exemption should not be permitted.</w:t>
      </w:r>
    </w:p>
    <w:p w14:paraId="64FC454F" w14:textId="6B39E649" w:rsidR="00312323" w:rsidRDefault="00312323" w:rsidP="00E8106A">
      <w:pPr>
        <w:spacing w:after="120"/>
      </w:pPr>
      <w:r>
        <w:t>(b) The “immediate vicinity” of premises occupied by the same person is undefined and in rural areas</w:t>
      </w:r>
      <w:r w:rsidR="00E8106A">
        <w:t>, particularly remote stations,</w:t>
      </w:r>
      <w:r>
        <w:t xml:space="preserve"> could be interpreted as </w:t>
      </w:r>
      <w:r w:rsidR="00E8106A">
        <w:t>20km or more gate to gate on public roads.</w:t>
      </w:r>
    </w:p>
    <w:p w14:paraId="09D27021" w14:textId="3860CD79" w:rsidR="00E8106A" w:rsidRPr="00AB0AB1" w:rsidRDefault="00E8106A" w:rsidP="00E8106A">
      <w:pPr>
        <w:spacing w:after="120"/>
      </w:pPr>
      <w:r>
        <w:t xml:space="preserve">In both the above instances, </w:t>
      </w:r>
      <w:r>
        <w:t>the potential consequences in a foreseeable accident are serious</w:t>
      </w:r>
      <w:r>
        <w:t xml:space="preserve"> and exemption from the Code should not be permitted</w:t>
      </w:r>
    </w:p>
    <w:sectPr w:rsidR="00E8106A" w:rsidRPr="00AB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8E"/>
    <w:rsid w:val="0000106F"/>
    <w:rsid w:val="00012C2A"/>
    <w:rsid w:val="0019099E"/>
    <w:rsid w:val="001D722F"/>
    <w:rsid w:val="0024133A"/>
    <w:rsid w:val="00246F4F"/>
    <w:rsid w:val="00312323"/>
    <w:rsid w:val="00335B3E"/>
    <w:rsid w:val="004F2352"/>
    <w:rsid w:val="00751213"/>
    <w:rsid w:val="009A598D"/>
    <w:rsid w:val="00A10ED7"/>
    <w:rsid w:val="00A83CB0"/>
    <w:rsid w:val="00AB0AB1"/>
    <w:rsid w:val="00AE2C8E"/>
    <w:rsid w:val="00AE2D72"/>
    <w:rsid w:val="00BD3E69"/>
    <w:rsid w:val="00C05A1B"/>
    <w:rsid w:val="00DA19DD"/>
    <w:rsid w:val="00DB59B9"/>
    <w:rsid w:val="00E8106A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1E56"/>
  <w15:chartTrackingRefBased/>
  <w15:docId w15:val="{B39F04E3-9452-49B8-B581-689B154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9E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C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C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C8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C8E"/>
    <w:rPr>
      <w:rFonts w:asciiTheme="minorHAnsi" w:eastAsiaTheme="majorEastAsia" w:hAnsiTheme="minorHAnsi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C8E"/>
    <w:rPr>
      <w:rFonts w:asciiTheme="minorHAnsi" w:eastAsiaTheme="majorEastAsia" w:hAnsiTheme="minorHAnsi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C8E"/>
    <w:rPr>
      <w:rFonts w:asciiTheme="minorHAnsi" w:eastAsiaTheme="majorEastAsia" w:hAnsiTheme="minorHAnsi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C8E"/>
    <w:rPr>
      <w:rFonts w:asciiTheme="minorHAnsi" w:eastAsiaTheme="majorEastAsia" w:hAnsiTheme="minorHAnsi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C8E"/>
    <w:rPr>
      <w:rFonts w:asciiTheme="minorHAnsi" w:eastAsiaTheme="majorEastAsia" w:hAnsiTheme="minorHAnsi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C8E"/>
    <w:rPr>
      <w:rFonts w:asciiTheme="minorHAnsi" w:eastAsiaTheme="majorEastAsia" w:hAnsiTheme="minorHAnsi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E2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C8E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AE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C8E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AE2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C8E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AE2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1766FFB0FE4B81433801E54AE1F8" ma:contentTypeVersion="11" ma:contentTypeDescription="Create a new document." ma:contentTypeScope="" ma:versionID="82763e2fc45fe5822f9064ec6528a94d">
  <xsd:schema xmlns:xsd="http://www.w3.org/2001/XMLSchema" xmlns:xs="http://www.w3.org/2001/XMLSchema" xmlns:p="http://schemas.microsoft.com/office/2006/metadata/properties" xmlns:ns2="fa53c2a3-5302-4da6-9d59-114da4d760ab" targetNamespace="http://schemas.microsoft.com/office/2006/metadata/properties" ma:root="true" ma:fieldsID="9f3960583378b5145bc86ce5e3b2dec5" ns2:_="">
    <xsd:import namespace="fa53c2a3-5302-4da6-9d59-114da4d7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c2a3-5302-4da6-9d59-114da4d7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8c2abd-2242-4542-9ec8-cbe7d522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53c2a3-5302-4da6-9d59-114da4d760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6DFBD-EC42-49B3-B515-8B33F8C9FED9}"/>
</file>

<file path=customXml/itemProps2.xml><?xml version="1.0" encoding="utf-8"?>
<ds:datastoreItem xmlns:ds="http://schemas.openxmlformats.org/officeDocument/2006/customXml" ds:itemID="{99A0A155-F202-43F3-B556-66573D327EDD}"/>
</file>

<file path=customXml/itemProps3.xml><?xml version="1.0" encoding="utf-8"?>
<ds:datastoreItem xmlns:ds="http://schemas.openxmlformats.org/officeDocument/2006/customXml" ds:itemID="{3B4B2143-595C-4877-8AA7-E07512603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W.V.Peter Hunt</dc:creator>
  <cp:keywords/>
  <dc:description/>
  <cp:lastModifiedBy>W.V.Peter Hunt</cp:lastModifiedBy>
  <cp:revision>4</cp:revision>
  <dcterms:created xsi:type="dcterms:W3CDTF">2024-12-13T07:46:00Z</dcterms:created>
  <dcterms:modified xsi:type="dcterms:W3CDTF">2024-12-16T01:41:00Z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0x010100CDF21766FFB0FE4B81433801E54AE1F8</vt:lpwstr>
  </property>
</Properties>
</file>