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C6126" w14:paraId="3AD03732" w14:textId="77777777" w:rsidTr="0009686E">
        <w:trPr>
          <w:trHeight w:val="3960"/>
        </w:trPr>
        <w:tc>
          <w:tcPr>
            <w:tcW w:w="3005" w:type="dxa"/>
          </w:tcPr>
          <w:p w14:paraId="7E96A588" w14:textId="3901BA0D" w:rsidR="007C6126" w:rsidRDefault="009943FC">
            <w:r>
              <w:t xml:space="preserve">Record keeping </w:t>
            </w:r>
            <w:r w:rsidR="0009686E">
              <w:t xml:space="preserve">(Fatigue) – Options for streamlining record keeping requirements </w:t>
            </w:r>
          </w:p>
        </w:tc>
        <w:tc>
          <w:tcPr>
            <w:tcW w:w="3005" w:type="dxa"/>
          </w:tcPr>
          <w:p w14:paraId="34234BB1" w14:textId="209BD930" w:rsidR="0009686E" w:rsidRDefault="0009686E">
            <w:r>
              <w:t xml:space="preserve">Base case – retain existing record keeping requirements. </w:t>
            </w:r>
          </w:p>
          <w:p w14:paraId="43CBF8B7" w14:textId="77777777" w:rsidR="0009686E" w:rsidRDefault="0009686E"/>
          <w:p w14:paraId="6EDD0E96" w14:textId="0C1A4388" w:rsidR="007C6126" w:rsidRDefault="009943FC">
            <w:r>
              <w:t xml:space="preserve">Option 1a </w:t>
            </w:r>
            <w:r w:rsidR="0009686E">
              <w:t>–</w:t>
            </w:r>
            <w:r>
              <w:t xml:space="preserve"> </w:t>
            </w:r>
            <w:r w:rsidR="0009686E">
              <w:t xml:space="preserve">Remove duplicate record keeping requirements from the law and streamline offences relating to these requirements. </w:t>
            </w:r>
          </w:p>
          <w:p w14:paraId="6AA869FC" w14:textId="77777777" w:rsidR="0009686E" w:rsidRDefault="0009686E"/>
          <w:p w14:paraId="74594D49" w14:textId="59F6D425" w:rsidR="0009686E" w:rsidRDefault="0009686E">
            <w:r>
              <w:t>Option 1b – Remove administrative process requirements and offences</w:t>
            </w:r>
          </w:p>
        </w:tc>
        <w:tc>
          <w:tcPr>
            <w:tcW w:w="3006" w:type="dxa"/>
          </w:tcPr>
          <w:p w14:paraId="20F6E587" w14:textId="1B4472D2" w:rsidR="007C6126" w:rsidRDefault="0030583B">
            <w:r>
              <w:t>Option 1a</w:t>
            </w:r>
            <w:r w:rsidR="004831FF">
              <w:t xml:space="preserve"> and 1b</w:t>
            </w:r>
          </w:p>
        </w:tc>
      </w:tr>
      <w:tr w:rsidR="007C6126" w14:paraId="3A9665E2" w14:textId="77777777" w:rsidTr="0009686E">
        <w:trPr>
          <w:trHeight w:val="2462"/>
        </w:trPr>
        <w:tc>
          <w:tcPr>
            <w:tcW w:w="3005" w:type="dxa"/>
          </w:tcPr>
          <w:p w14:paraId="60E25A1F" w14:textId="7FA808C4" w:rsidR="0009686E" w:rsidRPr="0009686E" w:rsidRDefault="0009686E" w:rsidP="0009686E">
            <w:r>
              <w:t xml:space="preserve">Scope of fatigue regulated vehicles – considers changes to the scope of which vehicles should be fatigue regulated under the HNVL </w:t>
            </w:r>
          </w:p>
        </w:tc>
        <w:tc>
          <w:tcPr>
            <w:tcW w:w="3005" w:type="dxa"/>
          </w:tcPr>
          <w:p w14:paraId="2E1418CD" w14:textId="635638BB" w:rsidR="007C6126" w:rsidRDefault="0009686E">
            <w:r>
              <w:t>Base case – Prescriptive fatigue requirements for HVs over 12 tonnes only with work diary exemption for drivers doing local work.</w:t>
            </w:r>
          </w:p>
          <w:p w14:paraId="77948380" w14:textId="77777777" w:rsidR="0009686E" w:rsidRDefault="0009686E"/>
          <w:p w14:paraId="03518CE2" w14:textId="3CE3E7EC" w:rsidR="0009686E" w:rsidRDefault="0009686E">
            <w:r>
              <w:t xml:space="preserve">Option 2a – Prescriptive fatigue requirements for HVs 12 tonnes only, full written work diary requirements for HVs over 12 tonnes </w:t>
            </w:r>
          </w:p>
          <w:p w14:paraId="0D940FD8" w14:textId="77777777" w:rsidR="0009686E" w:rsidRDefault="0009686E"/>
          <w:p w14:paraId="5626958A" w14:textId="15E71B60" w:rsidR="0009686E" w:rsidRDefault="0009686E">
            <w:r>
              <w:t xml:space="preserve">Option 2b – Prescriptive fatigue requirements for HVs </w:t>
            </w:r>
            <w:r w:rsidR="00673431">
              <w:t>12 tonnes and above only, light work diary requirements for lower risk operations</w:t>
            </w:r>
          </w:p>
          <w:p w14:paraId="6F4DC2BA" w14:textId="77777777" w:rsidR="00673431" w:rsidRDefault="00673431"/>
          <w:p w14:paraId="1322E12A" w14:textId="240DE1FC" w:rsidR="00673431" w:rsidRDefault="00673431">
            <w:r>
              <w:t xml:space="preserve">Option 2c – </w:t>
            </w:r>
            <w:r w:rsidR="00192577">
              <w:t>Prescriptive Fatigue</w:t>
            </w:r>
            <w:r>
              <w:t xml:space="preserve"> requirements for all HVs, full diary requirements for all operators </w:t>
            </w:r>
          </w:p>
          <w:p w14:paraId="4B3538D3" w14:textId="77777777" w:rsidR="00673431" w:rsidRDefault="00673431"/>
          <w:p w14:paraId="3471955A" w14:textId="04A52790" w:rsidR="00673431" w:rsidRDefault="00673431">
            <w:r>
              <w:t>Option 2d - Prescriptive Fatigue requirements for all HVs, work diary exemption for local work</w:t>
            </w:r>
          </w:p>
          <w:p w14:paraId="29F5925E" w14:textId="77777777" w:rsidR="00673431" w:rsidRDefault="00673431"/>
          <w:p w14:paraId="1CCAB638" w14:textId="6DCB2EB9" w:rsidR="00673431" w:rsidRDefault="00673431">
            <w:r>
              <w:t>Option 2e – Prescriptive Fatigue requirements for all HVs, light work diary requirements for lower risk operations</w:t>
            </w:r>
          </w:p>
          <w:p w14:paraId="58B3C34D" w14:textId="77777777" w:rsidR="0009686E" w:rsidRDefault="0009686E"/>
          <w:p w14:paraId="66A832BF" w14:textId="40533605" w:rsidR="0009686E" w:rsidRDefault="0009686E"/>
        </w:tc>
        <w:tc>
          <w:tcPr>
            <w:tcW w:w="3006" w:type="dxa"/>
          </w:tcPr>
          <w:p w14:paraId="626B7593" w14:textId="74E01490" w:rsidR="004831FF" w:rsidRDefault="004831FF">
            <w:r>
              <w:t>Our suggested position</w:t>
            </w:r>
            <w:r w:rsidR="00AA4E23">
              <w:t xml:space="preserve"> in respect of the bus industry</w:t>
            </w:r>
            <w:r>
              <w:t xml:space="preserve"> would be we continue to maintain existing arrangements through the “base case”</w:t>
            </w:r>
            <w:r w:rsidR="006E04EF">
              <w:t xml:space="preserve"> or 2d</w:t>
            </w:r>
            <w:r>
              <w:t xml:space="preserve">, including keeping the inside 100km radius exemption for a work </w:t>
            </w:r>
            <w:r w:rsidR="008E2E6A">
              <w:t>diary.</w:t>
            </w:r>
          </w:p>
          <w:p w14:paraId="0D1B1CDA" w14:textId="77777777" w:rsidR="004831FF" w:rsidRDefault="004831FF"/>
          <w:p w14:paraId="5DAFC145" w14:textId="0E18F750" w:rsidR="007C6126" w:rsidRDefault="004831FF">
            <w:r>
              <w:t xml:space="preserve">We do not support the implementation of </w:t>
            </w:r>
            <w:r w:rsidR="006E04EF">
              <w:t xml:space="preserve">2a, 2b and </w:t>
            </w:r>
            <w:r>
              <w:t xml:space="preserve">2c </w:t>
            </w:r>
            <w:r w:rsidR="006E04EF">
              <w:t xml:space="preserve">and 2e </w:t>
            </w:r>
            <w:r>
              <w:t>due to the additional administrative burden it would place on operators.</w:t>
            </w:r>
          </w:p>
        </w:tc>
      </w:tr>
      <w:tr w:rsidR="007C6126" w14:paraId="286F772F" w14:textId="77777777" w:rsidTr="007C6126">
        <w:trPr>
          <w:trHeight w:val="2139"/>
        </w:trPr>
        <w:tc>
          <w:tcPr>
            <w:tcW w:w="3005" w:type="dxa"/>
          </w:tcPr>
          <w:p w14:paraId="36CF6592" w14:textId="49157BB1" w:rsidR="007C6126" w:rsidRDefault="00192577">
            <w:r>
              <w:lastRenderedPageBreak/>
              <w:t xml:space="preserve">Enforcement options to address minor work and rest and admin offences  </w:t>
            </w:r>
          </w:p>
        </w:tc>
        <w:tc>
          <w:tcPr>
            <w:tcW w:w="3005" w:type="dxa"/>
          </w:tcPr>
          <w:p w14:paraId="4515F861" w14:textId="69F0F799" w:rsidR="007C6126" w:rsidRDefault="00192577">
            <w:r>
              <w:t xml:space="preserve">Base case: No change to existing arrangements </w:t>
            </w:r>
          </w:p>
          <w:p w14:paraId="27DF309E" w14:textId="77777777" w:rsidR="00192577" w:rsidRDefault="00192577"/>
          <w:p w14:paraId="47459A04" w14:textId="1A43A840" w:rsidR="00192577" w:rsidRDefault="00192577">
            <w:r>
              <w:t xml:space="preserve">Option 3a – Limit on the timeframe for issuing a work and rest breach infringement. </w:t>
            </w:r>
          </w:p>
          <w:p w14:paraId="408F40E8" w14:textId="77777777" w:rsidR="00192577" w:rsidRDefault="00192577"/>
          <w:p w14:paraId="40C74EB5" w14:textId="7AE60540" w:rsidR="00192577" w:rsidRDefault="00192577">
            <w:r>
              <w:t xml:space="preserve">Option 3b – Implementation of a risk profile for work and rest breaches </w:t>
            </w:r>
          </w:p>
          <w:p w14:paraId="595B2CA0" w14:textId="77777777" w:rsidR="00192577" w:rsidRDefault="00192577"/>
          <w:p w14:paraId="0AFE861F" w14:textId="2E0A50BC" w:rsidR="00192577" w:rsidRDefault="00192577">
            <w:r>
              <w:t xml:space="preserve">Option 3c – Enable a review of fines for ‘trifling’ administrative offences. </w:t>
            </w:r>
          </w:p>
          <w:p w14:paraId="034DA52B" w14:textId="77777777" w:rsidR="00192577" w:rsidRDefault="00192577"/>
          <w:p w14:paraId="4DE8D327" w14:textId="11E2BC0D" w:rsidR="00192577" w:rsidRDefault="00192577">
            <w:r>
              <w:t xml:space="preserve">Option 3d – Driver defence for minor administrative offences </w:t>
            </w:r>
          </w:p>
          <w:p w14:paraId="4FCE00D8" w14:textId="77777777" w:rsidR="00192577" w:rsidRDefault="00192577"/>
          <w:p w14:paraId="72993D94" w14:textId="76BC4ADC" w:rsidR="00192577" w:rsidRDefault="00192577">
            <w:r>
              <w:t xml:space="preserve">Option 3e – Support the use of formal warnings for admin offences relating to work diaries. </w:t>
            </w:r>
          </w:p>
          <w:p w14:paraId="40276804" w14:textId="77777777" w:rsidR="00192577" w:rsidRDefault="00192577"/>
          <w:p w14:paraId="7B331005" w14:textId="2DE57943" w:rsidR="00192577" w:rsidRDefault="00192577">
            <w:r>
              <w:t xml:space="preserve">Option 3f – Allow for formal education option in lieu of a fine for admin </w:t>
            </w:r>
            <w:r w:rsidR="00964E1D">
              <w:t>offences.</w:t>
            </w:r>
            <w:r>
              <w:t xml:space="preserve"> </w:t>
            </w:r>
          </w:p>
          <w:p w14:paraId="05990296" w14:textId="77777777" w:rsidR="00192577" w:rsidRDefault="00192577"/>
          <w:p w14:paraId="4D785D0B" w14:textId="7BADD266" w:rsidR="00192577" w:rsidRDefault="00192577"/>
        </w:tc>
        <w:tc>
          <w:tcPr>
            <w:tcW w:w="3006" w:type="dxa"/>
          </w:tcPr>
          <w:p w14:paraId="1D964205" w14:textId="5A814990" w:rsidR="004831FF" w:rsidRDefault="004831FF">
            <w:r>
              <w:t xml:space="preserve">Supportive of all options given they would see the removal of punitive measures against operators and greater educative </w:t>
            </w:r>
            <w:r w:rsidR="006C4B71">
              <w:t>focus. The proposal around review of fines would also be beneficial to operators.</w:t>
            </w:r>
          </w:p>
        </w:tc>
      </w:tr>
      <w:tr w:rsidR="007C6126" w14:paraId="3A14C2A3" w14:textId="77777777" w:rsidTr="007C6126">
        <w:trPr>
          <w:trHeight w:val="2412"/>
        </w:trPr>
        <w:tc>
          <w:tcPr>
            <w:tcW w:w="3005" w:type="dxa"/>
          </w:tcPr>
          <w:p w14:paraId="573C16D9" w14:textId="76A82C94" w:rsidR="007C6126" w:rsidRDefault="00964E1D">
            <w:r>
              <w:t>Increasing mass limits, General Mass Limits to Concessional Mass Limits</w:t>
            </w:r>
          </w:p>
        </w:tc>
        <w:tc>
          <w:tcPr>
            <w:tcW w:w="3005" w:type="dxa"/>
          </w:tcPr>
          <w:p w14:paraId="180F0F51" w14:textId="77777777" w:rsidR="007C6126" w:rsidRDefault="0052183A">
            <w:r>
              <w:t>Base case: Retain existing arrangements with potential of a provision for Euro VI</w:t>
            </w:r>
          </w:p>
          <w:p w14:paraId="59CA2774" w14:textId="77777777" w:rsidR="0052183A" w:rsidRDefault="0052183A"/>
          <w:p w14:paraId="2FDEB054" w14:textId="3679D925" w:rsidR="0052183A" w:rsidRDefault="0052183A">
            <w:r>
              <w:t>Option 4a: Establish new GML in the HVNL by increasing the current GML by 5 percent. The new GML would replace the current CML. No additional mass allowance is provided for Euro VI vehicles.</w:t>
            </w:r>
          </w:p>
          <w:p w14:paraId="0502F44A" w14:textId="77777777" w:rsidR="0052183A" w:rsidRDefault="0052183A"/>
          <w:p w14:paraId="6F886605" w14:textId="7ED3214E" w:rsidR="0052183A" w:rsidRDefault="0052183A" w:rsidP="0052183A">
            <w:r>
              <w:t>Option 4b: Establish new GML in the HVNL by increasing the current GML by 5 percent. The new GML would replace the current CML. An additional mass allowance is provided for Euro VI vehicles.</w:t>
            </w:r>
          </w:p>
          <w:p w14:paraId="37455554" w14:textId="5EBEC58D" w:rsidR="0052183A" w:rsidRDefault="0052183A"/>
        </w:tc>
        <w:tc>
          <w:tcPr>
            <w:tcW w:w="3006" w:type="dxa"/>
          </w:tcPr>
          <w:p w14:paraId="06066BA6" w14:textId="77777777" w:rsidR="007C6126" w:rsidRDefault="006C4B71">
            <w:r>
              <w:t>Option 4b given it provides for an allowance for Euro VI vehicles. (We assume Euro VI applies to buses and not just trucks)</w:t>
            </w:r>
          </w:p>
          <w:p w14:paraId="77ED8EC8" w14:textId="77777777" w:rsidR="006E04EF" w:rsidRDefault="006E04EF"/>
          <w:p w14:paraId="58225D99" w14:textId="3D16FFF1" w:rsidR="006E04EF" w:rsidRDefault="006E04EF">
            <w:r>
              <w:t xml:space="preserve">Given the complexity of this issue and significant implications of any changes for our members, we would encourage any change be examined as part of a more comprehensive review of mass limits for </w:t>
            </w:r>
            <w:r w:rsidR="004A3BFD">
              <w:t>the bus</w:t>
            </w:r>
            <w:r>
              <w:t xml:space="preserve"> industry specifically. </w:t>
            </w:r>
          </w:p>
          <w:p w14:paraId="59642C0D" w14:textId="77777777" w:rsidR="000C3BF9" w:rsidRDefault="000C3BF9"/>
          <w:p w14:paraId="79E750D4" w14:textId="6C02848D" w:rsidR="000C3BF9" w:rsidRDefault="000C3BF9"/>
        </w:tc>
      </w:tr>
      <w:tr w:rsidR="007C6126" w14:paraId="079B961D" w14:textId="77777777" w:rsidTr="007C6126">
        <w:trPr>
          <w:trHeight w:val="2416"/>
        </w:trPr>
        <w:tc>
          <w:tcPr>
            <w:tcW w:w="3005" w:type="dxa"/>
          </w:tcPr>
          <w:p w14:paraId="497BB72A" w14:textId="6BDCCDAF" w:rsidR="007C6126" w:rsidRDefault="0003413B">
            <w:r>
              <w:lastRenderedPageBreak/>
              <w:t xml:space="preserve">Height limits </w:t>
            </w:r>
          </w:p>
        </w:tc>
        <w:tc>
          <w:tcPr>
            <w:tcW w:w="3005" w:type="dxa"/>
          </w:tcPr>
          <w:p w14:paraId="0C8355F0" w14:textId="5DFF1AA0" w:rsidR="007C6126" w:rsidRDefault="0003413B">
            <w:r>
              <w:t xml:space="preserve">Base </w:t>
            </w:r>
            <w:r w:rsidR="00134CF5">
              <w:t>case:</w:t>
            </w:r>
            <w:r>
              <w:t xml:space="preserve"> Height limit remains at 4.3m for general access </w:t>
            </w:r>
            <w:r w:rsidR="00B86877">
              <w:t>vehicles.</w:t>
            </w:r>
            <w:r>
              <w:t xml:space="preserve"> </w:t>
            </w:r>
          </w:p>
          <w:p w14:paraId="6B72AD75" w14:textId="77777777" w:rsidR="0003413B" w:rsidRDefault="0003413B"/>
          <w:p w14:paraId="2A2E98D5" w14:textId="1F75FA57" w:rsidR="0003413B" w:rsidRDefault="00134CF5">
            <w:r>
              <w:t>Option 5a: Increase height limit to 4.6m for general access vehicles</w:t>
            </w:r>
          </w:p>
        </w:tc>
        <w:tc>
          <w:tcPr>
            <w:tcW w:w="3006" w:type="dxa"/>
          </w:tcPr>
          <w:p w14:paraId="58A9DD4C" w14:textId="1B59B6D0" w:rsidR="007C6126" w:rsidRDefault="0080197E">
            <w:r>
              <w:t>No express position</w:t>
            </w:r>
            <w:r w:rsidR="000C3BF9">
              <w:t xml:space="preserve"> </w:t>
            </w:r>
            <w:r>
              <w:t xml:space="preserve">but we would note </w:t>
            </w:r>
            <w:r w:rsidR="000C3BF9">
              <w:t xml:space="preserve">manufacturers would be unlikely to manufacture </w:t>
            </w:r>
            <w:r>
              <w:t>buses</w:t>
            </w:r>
            <w:r w:rsidR="000C3BF9">
              <w:t xml:space="preserve"> of this size. </w:t>
            </w:r>
          </w:p>
        </w:tc>
      </w:tr>
      <w:tr w:rsidR="007C6126" w14:paraId="229AEB73" w14:textId="77777777" w:rsidTr="007C6126">
        <w:trPr>
          <w:trHeight w:val="3837"/>
        </w:trPr>
        <w:tc>
          <w:tcPr>
            <w:tcW w:w="3005" w:type="dxa"/>
          </w:tcPr>
          <w:p w14:paraId="76DA806B" w14:textId="246989BB" w:rsidR="007C6126" w:rsidRDefault="00134CF5">
            <w:r>
              <w:t xml:space="preserve">Length limits </w:t>
            </w:r>
          </w:p>
        </w:tc>
        <w:tc>
          <w:tcPr>
            <w:tcW w:w="3005" w:type="dxa"/>
          </w:tcPr>
          <w:p w14:paraId="52B195A5" w14:textId="72707C33" w:rsidR="007C6126" w:rsidRDefault="00134CF5">
            <w:r>
              <w:t xml:space="preserve">Base case: Length limits remain at 19m for general access </w:t>
            </w:r>
            <w:r w:rsidR="00B86877">
              <w:t>vehicles.</w:t>
            </w:r>
            <w:r>
              <w:t xml:space="preserve"> </w:t>
            </w:r>
          </w:p>
          <w:p w14:paraId="3DAADE7F" w14:textId="77777777" w:rsidR="00134CF5" w:rsidRDefault="00134CF5"/>
          <w:p w14:paraId="377D7751" w14:textId="2FF7996F" w:rsidR="00134CF5" w:rsidRDefault="00134CF5">
            <w:r>
              <w:t xml:space="preserve">Option 5b: Increase the general access length limit to 20m </w:t>
            </w:r>
          </w:p>
        </w:tc>
        <w:tc>
          <w:tcPr>
            <w:tcW w:w="3006" w:type="dxa"/>
          </w:tcPr>
          <w:p w14:paraId="63572E5F" w14:textId="09753FC3" w:rsidR="007C6126" w:rsidRDefault="001D7F58">
            <w:r>
              <w:t>We assume this does not apply to buses.</w:t>
            </w:r>
            <w:r w:rsidR="006C4B71">
              <w:t xml:space="preserve"> </w:t>
            </w:r>
            <w:r>
              <w:t xml:space="preserve">If this is not </w:t>
            </w:r>
            <w:r w:rsidR="00AA4E23">
              <w:t>correct, we</w:t>
            </w:r>
            <w:r>
              <w:t xml:space="preserve"> support </w:t>
            </w:r>
            <w:r w:rsidR="006C4B71">
              <w:t>the current prescribed lengths for bus remain</w:t>
            </w:r>
            <w:r>
              <w:t>ing</w:t>
            </w:r>
            <w:r w:rsidR="006C4B71">
              <w:t xml:space="preserve"> in place. (18m for articulated bus and 14.5 for </w:t>
            </w:r>
            <w:r w:rsidR="00AA4E23">
              <w:t>non-articulated</w:t>
            </w:r>
            <w:r w:rsidR="006C4B71">
              <w:t xml:space="preserve"> bus) </w:t>
            </w:r>
          </w:p>
        </w:tc>
      </w:tr>
      <w:tr w:rsidR="00B86877" w14:paraId="267FD30F" w14:textId="77777777" w:rsidTr="007C6126">
        <w:trPr>
          <w:trHeight w:val="3837"/>
        </w:trPr>
        <w:tc>
          <w:tcPr>
            <w:tcW w:w="3005" w:type="dxa"/>
          </w:tcPr>
          <w:p w14:paraId="0BA639F8" w14:textId="442A6127" w:rsidR="00B86877" w:rsidRDefault="00B86877">
            <w:r>
              <w:t xml:space="preserve">Option to Introduce National Audit Standard requirements </w:t>
            </w:r>
          </w:p>
        </w:tc>
        <w:tc>
          <w:tcPr>
            <w:tcW w:w="3005" w:type="dxa"/>
          </w:tcPr>
          <w:p w14:paraId="5C70A2E4" w14:textId="50E2340E" w:rsidR="00B86877" w:rsidRDefault="00920403">
            <w:r>
              <w:t>Base case: As per proposed arrangements, NAS is prescribed in primary law only, no requirements in regulations.</w:t>
            </w:r>
          </w:p>
          <w:p w14:paraId="144B84B6" w14:textId="77777777" w:rsidR="00920403" w:rsidRDefault="00920403"/>
          <w:p w14:paraId="784C33F4" w14:textId="50138A0F" w:rsidR="00920403" w:rsidRDefault="00920403">
            <w:r>
              <w:t xml:space="preserve">Option 7A: NAS is prescribed in primary </w:t>
            </w:r>
            <w:proofErr w:type="gramStart"/>
            <w:r>
              <w:t>law,</w:t>
            </w:r>
            <w:proofErr w:type="gramEnd"/>
            <w:r>
              <w:t xml:space="preserve"> NAS requirements are included in regulations. </w:t>
            </w:r>
          </w:p>
          <w:p w14:paraId="030A96FF" w14:textId="02F95F20" w:rsidR="00920403" w:rsidRDefault="00920403"/>
        </w:tc>
        <w:tc>
          <w:tcPr>
            <w:tcW w:w="3006" w:type="dxa"/>
          </w:tcPr>
          <w:p w14:paraId="484F5515" w14:textId="1CCD2C18" w:rsidR="00B86877" w:rsidRDefault="006C4B71">
            <w:r>
              <w:t>For those who are part of the NHVAS, this seems reasonable. (Our understanding is not many bus operators are part of the NHVAS)</w:t>
            </w:r>
          </w:p>
        </w:tc>
      </w:tr>
    </w:tbl>
    <w:p w14:paraId="4DBEAD7B" w14:textId="77777777" w:rsidR="00CB204B" w:rsidRDefault="00CB204B"/>
    <w:sectPr w:rsidR="00CB204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9097" w14:textId="77777777" w:rsidR="00A6351B" w:rsidRDefault="00A6351B" w:rsidP="007C6126">
      <w:pPr>
        <w:spacing w:after="0" w:line="240" w:lineRule="auto"/>
      </w:pPr>
      <w:r>
        <w:separator/>
      </w:r>
    </w:p>
  </w:endnote>
  <w:endnote w:type="continuationSeparator" w:id="0">
    <w:p w14:paraId="6BCB1840" w14:textId="77777777" w:rsidR="00A6351B" w:rsidRDefault="00A6351B" w:rsidP="007C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FB15" w14:textId="77777777" w:rsidR="00A6351B" w:rsidRDefault="00A6351B" w:rsidP="007C6126">
      <w:pPr>
        <w:spacing w:after="0" w:line="240" w:lineRule="auto"/>
      </w:pPr>
      <w:r>
        <w:separator/>
      </w:r>
    </w:p>
  </w:footnote>
  <w:footnote w:type="continuationSeparator" w:id="0">
    <w:p w14:paraId="3280A02E" w14:textId="77777777" w:rsidR="00A6351B" w:rsidRDefault="00A6351B" w:rsidP="007C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5BEB" w14:textId="33F9D56D" w:rsidR="009943FC" w:rsidRPr="009943FC" w:rsidRDefault="009943FC" w:rsidP="009943FC">
    <w:pPr>
      <w:pStyle w:val="Header"/>
      <w:tabs>
        <w:tab w:val="clear" w:pos="9026"/>
        <w:tab w:val="left" w:pos="7140"/>
      </w:tabs>
      <w:rPr>
        <w:b/>
        <w:bCs/>
        <w:lang w:val="en-US"/>
      </w:rPr>
    </w:pPr>
    <w:r w:rsidRPr="009943FC">
      <w:rPr>
        <w:b/>
        <w:bCs/>
        <w:lang w:val="en-US"/>
      </w:rPr>
      <w:t xml:space="preserve">POLICY </w:t>
    </w:r>
    <w:r>
      <w:rPr>
        <w:b/>
        <w:bCs/>
        <w:lang w:val="en-US"/>
      </w:rPr>
      <w:t>AREA</w:t>
    </w:r>
    <w:r w:rsidRPr="009943FC">
      <w:rPr>
        <w:b/>
        <w:bCs/>
        <w:lang w:val="en-US"/>
      </w:rPr>
      <w:tab/>
      <w:t>SUMMARY</w:t>
    </w:r>
    <w:r w:rsidRPr="009943FC">
      <w:rPr>
        <w:b/>
        <w:bCs/>
        <w:lang w:val="en-US"/>
      </w:rPr>
      <w:tab/>
      <w:t>BAV 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6"/>
    <w:rsid w:val="0003413B"/>
    <w:rsid w:val="0009686E"/>
    <w:rsid w:val="000C3BF9"/>
    <w:rsid w:val="00134CF5"/>
    <w:rsid w:val="00192577"/>
    <w:rsid w:val="001D7F58"/>
    <w:rsid w:val="0030583B"/>
    <w:rsid w:val="004831FF"/>
    <w:rsid w:val="004A3BFD"/>
    <w:rsid w:val="0052183A"/>
    <w:rsid w:val="00673431"/>
    <w:rsid w:val="006C4B71"/>
    <w:rsid w:val="006E04EF"/>
    <w:rsid w:val="007C6126"/>
    <w:rsid w:val="0080197E"/>
    <w:rsid w:val="008E2E6A"/>
    <w:rsid w:val="00920403"/>
    <w:rsid w:val="00921903"/>
    <w:rsid w:val="00964E1D"/>
    <w:rsid w:val="009943FC"/>
    <w:rsid w:val="009C5420"/>
    <w:rsid w:val="00A6351B"/>
    <w:rsid w:val="00AA4E23"/>
    <w:rsid w:val="00B86877"/>
    <w:rsid w:val="00CB204B"/>
    <w:rsid w:val="00D97D6A"/>
    <w:rsid w:val="00DF49F4"/>
    <w:rsid w:val="00E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0494"/>
  <w15:chartTrackingRefBased/>
  <w15:docId w15:val="{BBE1F63E-16D0-49A0-AD8F-FF5EBD13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26"/>
  </w:style>
  <w:style w:type="paragraph" w:styleId="Footer">
    <w:name w:val="footer"/>
    <w:basedOn w:val="Normal"/>
    <w:link w:val="FooterChar"/>
    <w:uiPriority w:val="99"/>
    <w:unhideWhenUsed/>
    <w:rsid w:val="007C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Goodwin</dc:creator>
  <cp:keywords/>
  <dc:description/>
  <cp:lastModifiedBy>Oscar Goodwin</cp:lastModifiedBy>
  <cp:revision>2</cp:revision>
  <dcterms:created xsi:type="dcterms:W3CDTF">2023-11-24T02:12:00Z</dcterms:created>
  <dcterms:modified xsi:type="dcterms:W3CDTF">2023-11-24T02:12:00Z</dcterms:modified>
</cp:coreProperties>
</file>